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FD95E" w14:textId="77777777" w:rsidR="005B0DC1" w:rsidRPr="004A48B7" w:rsidRDefault="004421B3" w:rsidP="004421B3">
      <w:pPr>
        <w:pStyle w:val="Title"/>
        <w:rPr>
          <w:sz w:val="54"/>
          <w:szCs w:val="54"/>
        </w:rPr>
      </w:pPr>
      <w:r w:rsidRPr="004A48B7">
        <w:rPr>
          <w:sz w:val="54"/>
          <w:szCs w:val="54"/>
        </w:rPr>
        <w:t>Urine sampling recommendations:</w:t>
      </w:r>
    </w:p>
    <w:p w14:paraId="1042C4FE" w14:textId="77777777" w:rsidR="004421B3" w:rsidRPr="004A48B7" w:rsidRDefault="004421B3" w:rsidP="004421B3">
      <w:pPr>
        <w:rPr>
          <w:sz w:val="21"/>
          <w:szCs w:val="21"/>
        </w:rPr>
      </w:pPr>
      <w:bookmarkStart w:id="0" w:name="_GoBack"/>
      <w:bookmarkEnd w:id="0"/>
    </w:p>
    <w:p w14:paraId="6C8BEF94" w14:textId="319CAE7B" w:rsidR="005431BA" w:rsidRPr="004A48B7" w:rsidRDefault="00D26098" w:rsidP="00D26098">
      <w:pPr>
        <w:rPr>
          <w:sz w:val="21"/>
          <w:szCs w:val="21"/>
        </w:rPr>
      </w:pPr>
      <w:r w:rsidRPr="004A48B7">
        <w:rPr>
          <w:sz w:val="21"/>
          <w:szCs w:val="21"/>
        </w:rPr>
        <w:t xml:space="preserve">Rapid transport or measures to preserve the sample aid reliable laboratory diagnosis. Delays and storage at room temperature allow organisms to multiply, which generates results that do not reflect the true clinical situation. Where delays in processing are unavoidable, refrigeration </w:t>
      </w:r>
      <w:r w:rsidRPr="00215C8E">
        <w:rPr>
          <w:color w:val="000000" w:themeColor="text1"/>
          <w:sz w:val="21"/>
          <w:szCs w:val="21"/>
        </w:rPr>
        <w:t xml:space="preserve">at </w:t>
      </w:r>
      <w:r w:rsidR="0016530D" w:rsidRPr="00215C8E">
        <w:rPr>
          <w:color w:val="000000" w:themeColor="text1"/>
          <w:sz w:val="21"/>
          <w:szCs w:val="21"/>
        </w:rPr>
        <w:t>2-8</w:t>
      </w:r>
      <w:r w:rsidRPr="00215C8E">
        <w:rPr>
          <w:color w:val="000000" w:themeColor="text1"/>
          <w:sz w:val="21"/>
          <w:szCs w:val="21"/>
        </w:rPr>
        <w:t xml:space="preserve">°C </w:t>
      </w:r>
      <w:r w:rsidRPr="004A48B7">
        <w:rPr>
          <w:sz w:val="21"/>
          <w:szCs w:val="21"/>
        </w:rPr>
        <w:t xml:space="preserve">is recommended or the use of a boric acid preservative may be beneficial. </w:t>
      </w:r>
    </w:p>
    <w:p w14:paraId="4F730085" w14:textId="70491C96" w:rsidR="00D26098" w:rsidRPr="004A48B7" w:rsidRDefault="00D26098" w:rsidP="00D26098">
      <w:pPr>
        <w:rPr>
          <w:sz w:val="21"/>
          <w:szCs w:val="21"/>
        </w:rPr>
      </w:pPr>
      <w:r w:rsidRPr="004A48B7">
        <w:rPr>
          <w:sz w:val="21"/>
          <w:szCs w:val="21"/>
        </w:rPr>
        <w:t xml:space="preserve">Boric acid preservative at a concentration of </w:t>
      </w:r>
      <w:r w:rsidR="00AA283F">
        <w:rPr>
          <w:sz w:val="21"/>
          <w:szCs w:val="21"/>
        </w:rPr>
        <w:t>0.</w:t>
      </w:r>
      <w:r w:rsidRPr="004A48B7">
        <w:rPr>
          <w:sz w:val="21"/>
          <w:szCs w:val="21"/>
        </w:rPr>
        <w:t>1–</w:t>
      </w:r>
      <w:r w:rsidR="00AA283F">
        <w:rPr>
          <w:sz w:val="21"/>
          <w:szCs w:val="21"/>
        </w:rPr>
        <w:t>0.</w:t>
      </w:r>
      <w:r w:rsidRPr="004A48B7">
        <w:rPr>
          <w:sz w:val="21"/>
          <w:szCs w:val="21"/>
        </w:rPr>
        <w:t xml:space="preserve">2% holds the bacterial population steady for 48–96 hours, and other cellular components remain intact. </w:t>
      </w:r>
      <w:r w:rsidR="005431BA" w:rsidRPr="004A48B7">
        <w:rPr>
          <w:sz w:val="21"/>
          <w:szCs w:val="21"/>
        </w:rPr>
        <w:t xml:space="preserve">There is no data available on the effect of boric acid on bacterial populations beyond 96 hours. </w:t>
      </w:r>
      <w:r w:rsidRPr="004A48B7">
        <w:rPr>
          <w:sz w:val="21"/>
          <w:szCs w:val="21"/>
        </w:rPr>
        <w:t>Toxicity to certain organisms has been reported. The toxic effect is delayed and often reflects underfilling of the container.</w:t>
      </w:r>
    </w:p>
    <w:p w14:paraId="09E7BC9F" w14:textId="77777777" w:rsidR="004A48B7" w:rsidRPr="004A48B7" w:rsidRDefault="005431BA" w:rsidP="00D26098">
      <w:pPr>
        <w:rPr>
          <w:sz w:val="21"/>
          <w:szCs w:val="21"/>
        </w:rPr>
      </w:pPr>
      <w:r w:rsidRPr="004A48B7">
        <w:rPr>
          <w:sz w:val="21"/>
          <w:szCs w:val="21"/>
        </w:rPr>
        <w:t>Unless the sample will be transported to the laboratory within 60 minutes of collection, refrigeration is recommended for up to 24 hours post-collection. There is limited evidence that after 24 hours refrigeration, there is an increased risk of false-negative results.</w:t>
      </w:r>
    </w:p>
    <w:p w14:paraId="1A3BCC1F" w14:textId="77777777" w:rsidR="004421B3" w:rsidRPr="004A48B7" w:rsidRDefault="004421B3" w:rsidP="004421B3">
      <w:pPr>
        <w:pStyle w:val="Heading1"/>
        <w:rPr>
          <w:sz w:val="31"/>
          <w:szCs w:val="31"/>
        </w:rPr>
      </w:pPr>
      <w:r w:rsidRPr="004A48B7">
        <w:rPr>
          <w:sz w:val="31"/>
          <w:szCs w:val="31"/>
        </w:rPr>
        <w:t>Cystocentesis samples</w:t>
      </w:r>
    </w:p>
    <w:p w14:paraId="0312891F" w14:textId="77777777" w:rsidR="004421B3" w:rsidRPr="004A48B7" w:rsidRDefault="0009069D" w:rsidP="004421B3">
      <w:pPr>
        <w:rPr>
          <w:sz w:val="21"/>
          <w:szCs w:val="21"/>
        </w:rPr>
      </w:pPr>
      <w:r w:rsidRPr="004A48B7">
        <w:rPr>
          <w:sz w:val="21"/>
          <w:szCs w:val="21"/>
        </w:rPr>
        <w:t xml:space="preserve">Specimens collected by cystocentesis are preferred for urine culture. For an aseptically collected cystocentesis sample, a boric acid container is not required. Urine may be collected into a sterile universal. </w:t>
      </w:r>
    </w:p>
    <w:p w14:paraId="79232527" w14:textId="77777777" w:rsidR="0009069D" w:rsidRPr="004A48B7" w:rsidRDefault="0009069D" w:rsidP="0009069D">
      <w:pPr>
        <w:pStyle w:val="Heading1"/>
        <w:rPr>
          <w:sz w:val="31"/>
          <w:szCs w:val="31"/>
        </w:rPr>
      </w:pPr>
      <w:r w:rsidRPr="004A48B7">
        <w:rPr>
          <w:sz w:val="31"/>
          <w:szCs w:val="31"/>
        </w:rPr>
        <w:t>Catheterised samples</w:t>
      </w:r>
    </w:p>
    <w:p w14:paraId="54554088" w14:textId="77777777" w:rsidR="0009069D" w:rsidRPr="004A48B7" w:rsidRDefault="0009069D" w:rsidP="004421B3">
      <w:pPr>
        <w:rPr>
          <w:sz w:val="21"/>
          <w:szCs w:val="21"/>
        </w:rPr>
      </w:pPr>
      <w:r w:rsidRPr="004A48B7">
        <w:rPr>
          <w:sz w:val="21"/>
          <w:szCs w:val="21"/>
        </w:rPr>
        <w:t xml:space="preserve">Catheterised samples are acceptable for urine culture. </w:t>
      </w:r>
      <w:r w:rsidR="005431BA" w:rsidRPr="004A48B7">
        <w:rPr>
          <w:sz w:val="21"/>
          <w:szCs w:val="21"/>
        </w:rPr>
        <w:t>A universal containing boric acid is recommended to prevent overgrowth of contaminants.</w:t>
      </w:r>
    </w:p>
    <w:p w14:paraId="65997972" w14:textId="77777777" w:rsidR="004421B3" w:rsidRPr="004A48B7" w:rsidRDefault="005431BA" w:rsidP="004A48B7">
      <w:pPr>
        <w:pStyle w:val="Heading1"/>
        <w:rPr>
          <w:sz w:val="31"/>
          <w:szCs w:val="31"/>
        </w:rPr>
      </w:pPr>
      <w:r w:rsidRPr="004A48B7">
        <w:rPr>
          <w:sz w:val="31"/>
          <w:szCs w:val="31"/>
        </w:rPr>
        <w:t xml:space="preserve">Free-catch </w:t>
      </w:r>
      <w:r w:rsidR="004A48B7" w:rsidRPr="004A48B7">
        <w:rPr>
          <w:sz w:val="31"/>
          <w:szCs w:val="31"/>
        </w:rPr>
        <w:t xml:space="preserve">samples </w:t>
      </w:r>
    </w:p>
    <w:p w14:paraId="4BD4F4A9" w14:textId="77777777" w:rsidR="002D2772" w:rsidRPr="004A48B7" w:rsidRDefault="004A48B7">
      <w:pPr>
        <w:rPr>
          <w:sz w:val="21"/>
          <w:szCs w:val="21"/>
        </w:rPr>
      </w:pPr>
      <w:r w:rsidRPr="004A48B7">
        <w:rPr>
          <w:sz w:val="21"/>
          <w:szCs w:val="21"/>
        </w:rPr>
        <w:t>Free-catch samples are acceptable for urine culture. A universal containing boric acid is recommended to prevent overgrowth of contaminants.</w:t>
      </w:r>
    </w:p>
    <w:p w14:paraId="43BAE6F6" w14:textId="77777777" w:rsidR="002D2772" w:rsidRPr="004A48B7" w:rsidRDefault="004A48B7">
      <w:pPr>
        <w:rPr>
          <w:sz w:val="21"/>
          <w:szCs w:val="21"/>
        </w:rPr>
      </w:pPr>
      <w:r w:rsidRPr="004A48B7">
        <w:rPr>
          <w:sz w:val="21"/>
          <w:szCs w:val="21"/>
        </w:rPr>
        <w:t>We request that the method of sampling is provided on the submission form, to aid interpretation of the results.</w:t>
      </w:r>
    </w:p>
    <w:sdt>
      <w:sdtPr>
        <w:rPr>
          <w:rFonts w:asciiTheme="minorHAnsi" w:eastAsiaTheme="minorHAnsi" w:hAnsiTheme="minorHAnsi" w:cstheme="minorBidi"/>
          <w:color w:val="auto"/>
          <w:sz w:val="31"/>
          <w:szCs w:val="31"/>
        </w:rPr>
        <w:id w:val="1826473324"/>
        <w:docPartObj>
          <w:docPartGallery w:val="Bibliographies"/>
          <w:docPartUnique/>
        </w:docPartObj>
      </w:sdtPr>
      <w:sdtEndPr>
        <w:rPr>
          <w:sz w:val="21"/>
          <w:szCs w:val="21"/>
        </w:rPr>
      </w:sdtEndPr>
      <w:sdtContent>
        <w:p w14:paraId="743B56F6" w14:textId="77777777" w:rsidR="00011BCF" w:rsidRPr="004A48B7" w:rsidRDefault="00011BCF">
          <w:pPr>
            <w:pStyle w:val="Heading1"/>
            <w:rPr>
              <w:sz w:val="31"/>
              <w:szCs w:val="31"/>
            </w:rPr>
          </w:pPr>
          <w:r w:rsidRPr="004A48B7">
            <w:rPr>
              <w:sz w:val="31"/>
              <w:szCs w:val="31"/>
            </w:rPr>
            <w:t>Bibliography</w:t>
          </w:r>
        </w:p>
        <w:sdt>
          <w:sdtPr>
            <w:rPr>
              <w:sz w:val="21"/>
              <w:szCs w:val="21"/>
            </w:rPr>
            <w:id w:val="111145805"/>
            <w:bibliography/>
          </w:sdtPr>
          <w:sdtEndPr/>
          <w:sdtContent>
            <w:p w14:paraId="23841547" w14:textId="77777777" w:rsidR="00011BCF" w:rsidRPr="004A48B7" w:rsidRDefault="00011BCF" w:rsidP="00011BCF">
              <w:pPr>
                <w:pStyle w:val="Bibliography"/>
                <w:rPr>
                  <w:noProof/>
                  <w:sz w:val="23"/>
                  <w:szCs w:val="24"/>
                </w:rPr>
              </w:pPr>
              <w:r w:rsidRPr="004A48B7">
                <w:rPr>
                  <w:sz w:val="21"/>
                  <w:szCs w:val="21"/>
                </w:rPr>
                <w:fldChar w:fldCharType="begin"/>
              </w:r>
              <w:r w:rsidRPr="004A48B7">
                <w:rPr>
                  <w:sz w:val="21"/>
                  <w:szCs w:val="21"/>
                </w:rPr>
                <w:instrText xml:space="preserve"> BIBLIOGRAPHY </w:instrText>
              </w:r>
              <w:r w:rsidRPr="004A48B7">
                <w:rPr>
                  <w:sz w:val="21"/>
                  <w:szCs w:val="21"/>
                </w:rPr>
                <w:fldChar w:fldCharType="separate"/>
              </w:r>
              <w:r w:rsidRPr="004A48B7">
                <w:rPr>
                  <w:noProof/>
                  <w:sz w:val="21"/>
                  <w:szCs w:val="21"/>
                </w:rPr>
                <w:t xml:space="preserve">Bartges, J. &amp; Polzin, D. J., 2011. </w:t>
              </w:r>
              <w:r w:rsidRPr="004A48B7">
                <w:rPr>
                  <w:i/>
                  <w:iCs/>
                  <w:noProof/>
                  <w:sz w:val="21"/>
                  <w:szCs w:val="21"/>
                </w:rPr>
                <w:t xml:space="preserve">Nephrology and Urology of Small Animals. </w:t>
              </w:r>
              <w:r w:rsidRPr="004A48B7">
                <w:rPr>
                  <w:noProof/>
                  <w:sz w:val="21"/>
                  <w:szCs w:val="21"/>
                </w:rPr>
                <w:t>Chichester: Wiley-Blackwell.</w:t>
              </w:r>
            </w:p>
            <w:p w14:paraId="1D310CA7" w14:textId="77777777" w:rsidR="00011BCF" w:rsidRPr="004A48B7" w:rsidRDefault="00011BCF" w:rsidP="00011BCF">
              <w:pPr>
                <w:pStyle w:val="Bibliography"/>
                <w:rPr>
                  <w:noProof/>
                  <w:sz w:val="21"/>
                  <w:szCs w:val="21"/>
                </w:rPr>
              </w:pPr>
              <w:r w:rsidRPr="004A48B7">
                <w:rPr>
                  <w:noProof/>
                  <w:sz w:val="21"/>
                  <w:szCs w:val="21"/>
                </w:rPr>
                <w:t xml:space="preserve">Gunn-Christie, R. G. et al., 2012. ASVCP quality assurance guidelines: control of preanalytical, analytical, and postanalytical factors for urinalysis, cytology, and clinical chemistry in veterinary laboratories. </w:t>
              </w:r>
              <w:r w:rsidRPr="004A48B7">
                <w:rPr>
                  <w:i/>
                  <w:iCs/>
                  <w:noProof/>
                  <w:sz w:val="21"/>
                  <w:szCs w:val="21"/>
                </w:rPr>
                <w:t xml:space="preserve">Veterinary Clinical Pathology, </w:t>
              </w:r>
              <w:r w:rsidRPr="004A48B7">
                <w:rPr>
                  <w:noProof/>
                  <w:sz w:val="21"/>
                  <w:szCs w:val="21"/>
                </w:rPr>
                <w:t>41(1), pp. 18-26.</w:t>
              </w:r>
            </w:p>
            <w:p w14:paraId="7DBF1D8F" w14:textId="77777777" w:rsidR="00011BCF" w:rsidRPr="004A48B7" w:rsidRDefault="00011BCF" w:rsidP="00011BCF">
              <w:pPr>
                <w:pStyle w:val="Bibliography"/>
                <w:rPr>
                  <w:noProof/>
                  <w:sz w:val="21"/>
                  <w:szCs w:val="21"/>
                </w:rPr>
              </w:pPr>
              <w:r w:rsidRPr="004A48B7">
                <w:rPr>
                  <w:noProof/>
                  <w:sz w:val="21"/>
                  <w:szCs w:val="21"/>
                </w:rPr>
                <w:t xml:space="preserve">Public Health England, 2018. </w:t>
              </w:r>
              <w:r w:rsidRPr="004A48B7">
                <w:rPr>
                  <w:i/>
                  <w:iCs/>
                  <w:noProof/>
                  <w:sz w:val="21"/>
                  <w:szCs w:val="21"/>
                </w:rPr>
                <w:t xml:space="preserve">UK Standards for Microbiology Investigations - Investigation of Urine. </w:t>
              </w:r>
              <w:r w:rsidRPr="004A48B7">
                <w:rPr>
                  <w:noProof/>
                  <w:sz w:val="21"/>
                  <w:szCs w:val="21"/>
                </w:rPr>
                <w:t xml:space="preserve">[Online] </w:t>
              </w:r>
              <w:r w:rsidRPr="004A48B7">
                <w:rPr>
                  <w:noProof/>
                  <w:sz w:val="21"/>
                  <w:szCs w:val="21"/>
                </w:rPr>
                <w:br/>
                <w:t xml:space="preserve">Available at: </w:t>
              </w:r>
              <w:r w:rsidRPr="004A48B7">
                <w:rPr>
                  <w:noProof/>
                  <w:sz w:val="21"/>
                  <w:szCs w:val="21"/>
                  <w:u w:val="single"/>
                </w:rPr>
                <w:t>https://assets.publishing.service.gov.uk/government/uploads/system/uploads/attachment_data/file/704145/B_41i8.5.pdf</w:t>
              </w:r>
              <w:r w:rsidRPr="004A48B7">
                <w:rPr>
                  <w:noProof/>
                  <w:sz w:val="21"/>
                  <w:szCs w:val="21"/>
                </w:rPr>
                <w:br/>
                <w:t>[Accessed 22 June 2018].</w:t>
              </w:r>
            </w:p>
            <w:p w14:paraId="27DDEE50" w14:textId="77777777" w:rsidR="003E2F6A" w:rsidRPr="004A48B7" w:rsidRDefault="00011BCF" w:rsidP="00011BCF">
              <w:pPr>
                <w:rPr>
                  <w:sz w:val="21"/>
                  <w:szCs w:val="21"/>
                </w:rPr>
              </w:pPr>
              <w:r w:rsidRPr="004A48B7">
                <w:rPr>
                  <w:b/>
                  <w:bCs/>
                  <w:noProof/>
                  <w:sz w:val="21"/>
                  <w:szCs w:val="21"/>
                </w:rPr>
                <w:fldChar w:fldCharType="end"/>
              </w:r>
            </w:p>
          </w:sdtContent>
        </w:sdt>
      </w:sdtContent>
    </w:sdt>
    <w:sectPr w:rsidR="003E2F6A" w:rsidRPr="004A48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4B79" w14:textId="77777777" w:rsidR="008E0389" w:rsidRDefault="008E0389" w:rsidP="008E0389">
      <w:pPr>
        <w:spacing w:after="0" w:line="240" w:lineRule="auto"/>
      </w:pPr>
      <w:r>
        <w:separator/>
      </w:r>
    </w:p>
  </w:endnote>
  <w:endnote w:type="continuationSeparator" w:id="0">
    <w:p w14:paraId="05917D37" w14:textId="77777777" w:rsidR="008E0389" w:rsidRDefault="008E0389" w:rsidP="008E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26457"/>
      <w:docPartObj>
        <w:docPartGallery w:val="Page Numbers (Bottom of Page)"/>
        <w:docPartUnique/>
      </w:docPartObj>
    </w:sdtPr>
    <w:sdtEndPr/>
    <w:sdtContent>
      <w:sdt>
        <w:sdtPr>
          <w:id w:val="1728636285"/>
          <w:docPartObj>
            <w:docPartGallery w:val="Page Numbers (Top of Page)"/>
            <w:docPartUnique/>
          </w:docPartObj>
        </w:sdtPr>
        <w:sdtEndPr/>
        <w:sdtContent>
          <w:p w14:paraId="37E98441" w14:textId="06E281E4" w:rsidR="008E0389" w:rsidRDefault="008E03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28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283F">
              <w:rPr>
                <w:b/>
                <w:bCs/>
                <w:noProof/>
              </w:rPr>
              <w:t>1</w:t>
            </w:r>
            <w:r>
              <w:rPr>
                <w:b/>
                <w:bCs/>
                <w:sz w:val="24"/>
                <w:szCs w:val="24"/>
              </w:rPr>
              <w:fldChar w:fldCharType="end"/>
            </w:r>
          </w:p>
        </w:sdtContent>
      </w:sdt>
    </w:sdtContent>
  </w:sdt>
  <w:p w14:paraId="14838CBB" w14:textId="77777777" w:rsidR="008E0389" w:rsidRDefault="008E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A7644" w14:textId="77777777" w:rsidR="008E0389" w:rsidRDefault="008E0389" w:rsidP="008E0389">
      <w:pPr>
        <w:spacing w:after="0" w:line="240" w:lineRule="auto"/>
      </w:pPr>
      <w:r>
        <w:separator/>
      </w:r>
    </w:p>
  </w:footnote>
  <w:footnote w:type="continuationSeparator" w:id="0">
    <w:p w14:paraId="1084D134" w14:textId="77777777" w:rsidR="008E0389" w:rsidRDefault="008E0389" w:rsidP="008E0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644A" w14:textId="45B4A85F" w:rsidR="008E0389" w:rsidRPr="00F46BA4" w:rsidRDefault="008E0389">
    <w:pPr>
      <w:pStyle w:val="Header"/>
      <w:rPr>
        <w:sz w:val="18"/>
        <w:szCs w:val="18"/>
      </w:rPr>
    </w:pPr>
    <w:r w:rsidRPr="00F46BA4">
      <w:rPr>
        <w:noProof/>
        <w:sz w:val="18"/>
        <w:szCs w:val="18"/>
        <w:lang w:eastAsia="en-GB"/>
      </w:rPr>
      <w:drawing>
        <wp:anchor distT="0" distB="0" distL="114300" distR="114300" simplePos="0" relativeHeight="251659264" behindDoc="1" locked="0" layoutInCell="1" allowOverlap="1" wp14:anchorId="1A5EE851" wp14:editId="460321AC">
          <wp:simplePos x="0" y="0"/>
          <wp:positionH relativeFrom="margin">
            <wp:posOffset>4754880</wp:posOffset>
          </wp:positionH>
          <wp:positionV relativeFrom="paragraph">
            <wp:posOffset>-114300</wp:posOffset>
          </wp:positionV>
          <wp:extent cx="1495425" cy="438150"/>
          <wp:effectExtent l="0" t="0" r="9525" b="0"/>
          <wp:wrapSquare wrapText="bothSides"/>
          <wp:docPr id="6" name="Picture 6" descr="IDXlabsLogo"/>
          <wp:cNvGraphicFramePr/>
          <a:graphic xmlns:a="http://schemas.openxmlformats.org/drawingml/2006/main">
            <a:graphicData uri="http://schemas.openxmlformats.org/drawingml/2006/picture">
              <pic:pic xmlns:pic="http://schemas.openxmlformats.org/drawingml/2006/picture">
                <pic:nvPicPr>
                  <pic:cNvPr id="3" name="Picture 3" descr="IDXlabs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BA4" w:rsidRPr="00F46BA4">
      <w:rPr>
        <w:sz w:val="18"/>
        <w:szCs w:val="18"/>
      </w:rPr>
      <w:t>Document Title: Urine Sampling Recommendations</w:t>
    </w:r>
    <w:r w:rsidR="00F46BA4" w:rsidRPr="00F46BA4">
      <w:rPr>
        <w:sz w:val="18"/>
        <w:szCs w:val="18"/>
      </w:rPr>
      <w:tab/>
      <w:t>Rev. 1.0</w:t>
    </w:r>
  </w:p>
  <w:p w14:paraId="060380FF" w14:textId="7EB9D6A3" w:rsidR="00F46BA4" w:rsidRPr="00F46BA4" w:rsidRDefault="00F46BA4">
    <w:pPr>
      <w:pStyle w:val="Header"/>
      <w:rPr>
        <w:b/>
        <w:sz w:val="18"/>
        <w:szCs w:val="18"/>
      </w:rPr>
    </w:pPr>
    <w:r w:rsidRPr="00F46BA4">
      <w:rPr>
        <w:sz w:val="18"/>
        <w:szCs w:val="18"/>
      </w:rPr>
      <w:t>Document Number: WET-MIC-</w:t>
    </w:r>
    <w:r w:rsidR="00D87F38">
      <w:rPr>
        <w:sz w:val="18"/>
        <w:szCs w:val="18"/>
      </w:rPr>
      <w:t>PRO</w:t>
    </w:r>
    <w:r w:rsidRPr="00F46BA4">
      <w:rPr>
        <w:sz w:val="18"/>
        <w:szCs w:val="18"/>
      </w:rPr>
      <w:t>-5130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B3"/>
    <w:rsid w:val="00011BCF"/>
    <w:rsid w:val="0009069D"/>
    <w:rsid w:val="0016530D"/>
    <w:rsid w:val="001834E3"/>
    <w:rsid w:val="00203F34"/>
    <w:rsid w:val="00215C8E"/>
    <w:rsid w:val="002D2772"/>
    <w:rsid w:val="003E2F6A"/>
    <w:rsid w:val="004421B3"/>
    <w:rsid w:val="004A48B7"/>
    <w:rsid w:val="004D794F"/>
    <w:rsid w:val="005431BA"/>
    <w:rsid w:val="005B0DC1"/>
    <w:rsid w:val="007D140C"/>
    <w:rsid w:val="008E0389"/>
    <w:rsid w:val="008E322A"/>
    <w:rsid w:val="00AA283F"/>
    <w:rsid w:val="00D26098"/>
    <w:rsid w:val="00D87F38"/>
    <w:rsid w:val="00F4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A934"/>
  <w15:chartTrackingRefBased/>
  <w15:docId w15:val="{EC949D67-23A3-46D5-AFBA-3A1EB982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21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1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421B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11BCF"/>
  </w:style>
  <w:style w:type="paragraph" w:styleId="Header">
    <w:name w:val="header"/>
    <w:basedOn w:val="Normal"/>
    <w:link w:val="HeaderChar"/>
    <w:uiPriority w:val="99"/>
    <w:unhideWhenUsed/>
    <w:rsid w:val="008E0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389"/>
  </w:style>
  <w:style w:type="paragraph" w:styleId="Footer">
    <w:name w:val="footer"/>
    <w:basedOn w:val="Normal"/>
    <w:link w:val="FooterChar"/>
    <w:uiPriority w:val="99"/>
    <w:unhideWhenUsed/>
    <w:rsid w:val="008E0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35731">
      <w:bodyDiv w:val="1"/>
      <w:marLeft w:val="0"/>
      <w:marRight w:val="0"/>
      <w:marTop w:val="0"/>
      <w:marBottom w:val="0"/>
      <w:divBdr>
        <w:top w:val="none" w:sz="0" w:space="0" w:color="auto"/>
        <w:left w:val="none" w:sz="0" w:space="0" w:color="auto"/>
        <w:bottom w:val="none" w:sz="0" w:space="0" w:color="auto"/>
        <w:right w:val="none" w:sz="0" w:space="0" w:color="auto"/>
      </w:divBdr>
    </w:div>
    <w:div w:id="570504734">
      <w:bodyDiv w:val="1"/>
      <w:marLeft w:val="0"/>
      <w:marRight w:val="0"/>
      <w:marTop w:val="0"/>
      <w:marBottom w:val="0"/>
      <w:divBdr>
        <w:top w:val="none" w:sz="0" w:space="0" w:color="auto"/>
        <w:left w:val="none" w:sz="0" w:space="0" w:color="auto"/>
        <w:bottom w:val="none" w:sz="0" w:space="0" w:color="auto"/>
        <w:right w:val="none" w:sz="0" w:space="0" w:color="auto"/>
      </w:divBdr>
    </w:div>
    <w:div w:id="649091951">
      <w:bodyDiv w:val="1"/>
      <w:marLeft w:val="0"/>
      <w:marRight w:val="0"/>
      <w:marTop w:val="0"/>
      <w:marBottom w:val="0"/>
      <w:divBdr>
        <w:top w:val="none" w:sz="0" w:space="0" w:color="auto"/>
        <w:left w:val="none" w:sz="0" w:space="0" w:color="auto"/>
        <w:bottom w:val="none" w:sz="0" w:space="0" w:color="auto"/>
        <w:right w:val="none" w:sz="0" w:space="0" w:color="auto"/>
      </w:divBdr>
    </w:div>
    <w:div w:id="910695548">
      <w:bodyDiv w:val="1"/>
      <w:marLeft w:val="0"/>
      <w:marRight w:val="0"/>
      <w:marTop w:val="0"/>
      <w:marBottom w:val="0"/>
      <w:divBdr>
        <w:top w:val="none" w:sz="0" w:space="0" w:color="auto"/>
        <w:left w:val="none" w:sz="0" w:space="0" w:color="auto"/>
        <w:bottom w:val="none" w:sz="0" w:space="0" w:color="auto"/>
        <w:right w:val="none" w:sz="0" w:space="0" w:color="auto"/>
      </w:divBdr>
    </w:div>
    <w:div w:id="963314898">
      <w:bodyDiv w:val="1"/>
      <w:marLeft w:val="0"/>
      <w:marRight w:val="0"/>
      <w:marTop w:val="0"/>
      <w:marBottom w:val="0"/>
      <w:divBdr>
        <w:top w:val="none" w:sz="0" w:space="0" w:color="auto"/>
        <w:left w:val="none" w:sz="0" w:space="0" w:color="auto"/>
        <w:bottom w:val="none" w:sz="0" w:space="0" w:color="auto"/>
        <w:right w:val="none" w:sz="0" w:space="0" w:color="auto"/>
      </w:divBdr>
    </w:div>
    <w:div w:id="997925984">
      <w:bodyDiv w:val="1"/>
      <w:marLeft w:val="0"/>
      <w:marRight w:val="0"/>
      <w:marTop w:val="0"/>
      <w:marBottom w:val="0"/>
      <w:divBdr>
        <w:top w:val="none" w:sz="0" w:space="0" w:color="auto"/>
        <w:left w:val="none" w:sz="0" w:space="0" w:color="auto"/>
        <w:bottom w:val="none" w:sz="0" w:space="0" w:color="auto"/>
        <w:right w:val="none" w:sz="0" w:space="0" w:color="auto"/>
      </w:divBdr>
    </w:div>
    <w:div w:id="1021858178">
      <w:bodyDiv w:val="1"/>
      <w:marLeft w:val="0"/>
      <w:marRight w:val="0"/>
      <w:marTop w:val="0"/>
      <w:marBottom w:val="0"/>
      <w:divBdr>
        <w:top w:val="none" w:sz="0" w:space="0" w:color="auto"/>
        <w:left w:val="none" w:sz="0" w:space="0" w:color="auto"/>
        <w:bottom w:val="none" w:sz="0" w:space="0" w:color="auto"/>
        <w:right w:val="none" w:sz="0" w:space="0" w:color="auto"/>
      </w:divBdr>
    </w:div>
    <w:div w:id="1207644751">
      <w:bodyDiv w:val="1"/>
      <w:marLeft w:val="0"/>
      <w:marRight w:val="0"/>
      <w:marTop w:val="0"/>
      <w:marBottom w:val="0"/>
      <w:divBdr>
        <w:top w:val="none" w:sz="0" w:space="0" w:color="auto"/>
        <w:left w:val="none" w:sz="0" w:space="0" w:color="auto"/>
        <w:bottom w:val="none" w:sz="0" w:space="0" w:color="auto"/>
        <w:right w:val="none" w:sz="0" w:space="0" w:color="auto"/>
      </w:divBdr>
    </w:div>
    <w:div w:id="1348487173">
      <w:bodyDiv w:val="1"/>
      <w:marLeft w:val="0"/>
      <w:marRight w:val="0"/>
      <w:marTop w:val="0"/>
      <w:marBottom w:val="0"/>
      <w:divBdr>
        <w:top w:val="none" w:sz="0" w:space="0" w:color="auto"/>
        <w:left w:val="none" w:sz="0" w:space="0" w:color="auto"/>
        <w:bottom w:val="none" w:sz="0" w:space="0" w:color="auto"/>
        <w:right w:val="none" w:sz="0" w:space="0" w:color="auto"/>
      </w:divBdr>
    </w:div>
    <w:div w:id="1701275583">
      <w:bodyDiv w:val="1"/>
      <w:marLeft w:val="0"/>
      <w:marRight w:val="0"/>
      <w:marTop w:val="0"/>
      <w:marBottom w:val="0"/>
      <w:divBdr>
        <w:top w:val="none" w:sz="0" w:space="0" w:color="auto"/>
        <w:left w:val="none" w:sz="0" w:space="0" w:color="auto"/>
        <w:bottom w:val="none" w:sz="0" w:space="0" w:color="auto"/>
        <w:right w:val="none" w:sz="0" w:space="0" w:color="auto"/>
      </w:divBdr>
    </w:div>
    <w:div w:id="1743721986">
      <w:bodyDiv w:val="1"/>
      <w:marLeft w:val="0"/>
      <w:marRight w:val="0"/>
      <w:marTop w:val="0"/>
      <w:marBottom w:val="0"/>
      <w:divBdr>
        <w:top w:val="none" w:sz="0" w:space="0" w:color="auto"/>
        <w:left w:val="none" w:sz="0" w:space="0" w:color="auto"/>
        <w:bottom w:val="none" w:sz="0" w:space="0" w:color="auto"/>
        <w:right w:val="none" w:sz="0" w:space="0" w:color="auto"/>
      </w:divBdr>
    </w:div>
    <w:div w:id="1946039168">
      <w:bodyDiv w:val="1"/>
      <w:marLeft w:val="0"/>
      <w:marRight w:val="0"/>
      <w:marTop w:val="0"/>
      <w:marBottom w:val="0"/>
      <w:divBdr>
        <w:top w:val="none" w:sz="0" w:space="0" w:color="auto"/>
        <w:left w:val="none" w:sz="0" w:space="0" w:color="auto"/>
        <w:bottom w:val="none" w:sz="0" w:space="0" w:color="auto"/>
        <w:right w:val="none" w:sz="0" w:space="0" w:color="auto"/>
      </w:divBdr>
    </w:div>
    <w:div w:id="1982466464">
      <w:bodyDiv w:val="1"/>
      <w:marLeft w:val="0"/>
      <w:marRight w:val="0"/>
      <w:marTop w:val="0"/>
      <w:marBottom w:val="0"/>
      <w:divBdr>
        <w:top w:val="none" w:sz="0" w:space="0" w:color="auto"/>
        <w:left w:val="none" w:sz="0" w:space="0" w:color="auto"/>
        <w:bottom w:val="none" w:sz="0" w:space="0" w:color="auto"/>
        <w:right w:val="none" w:sz="0" w:space="0" w:color="auto"/>
      </w:divBdr>
    </w:div>
    <w:div w:id="2028630323">
      <w:bodyDiv w:val="1"/>
      <w:marLeft w:val="0"/>
      <w:marRight w:val="0"/>
      <w:marTop w:val="0"/>
      <w:marBottom w:val="0"/>
      <w:divBdr>
        <w:top w:val="none" w:sz="0" w:space="0" w:color="auto"/>
        <w:left w:val="none" w:sz="0" w:space="0" w:color="auto"/>
        <w:bottom w:val="none" w:sz="0" w:space="0" w:color="auto"/>
        <w:right w:val="none" w:sz="0" w:space="0" w:color="auto"/>
      </w:divBdr>
    </w:div>
    <w:div w:id="21047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Pub18</b:Tag>
    <b:SourceType>DocumentFromInternetSite</b:SourceType>
    <b:Guid>{21A1D96C-0033-459A-B33F-242EBB71FF48}</b:Guid>
    <b:Title>UK Standards for Microbiology Investigations - Investigation of Urine</b:Title>
    <b:Year>2018</b:Year>
    <b:Author>
      <b:Author>
        <b:Corporate>Public Health England</b:Corporate>
      </b:Author>
    </b:Author>
    <b:Month>May</b:Month>
    <b:Day>1</b:Day>
    <b:YearAccessed>2018</b:YearAccessed>
    <b:MonthAccessed>June</b:MonthAccessed>
    <b:DayAccessed>22</b:DayAccessed>
    <b:URL>https://assets.publishing.service.gov.uk/government/uploads/system/uploads/attachment_data/file/704145/B_41i8.5.pdf</b:URL>
    <b:RefOrder>2</b:RefOrder>
  </b:Source>
  <b:Source>
    <b:Tag>Bar11</b:Tag>
    <b:SourceType>Book</b:SourceType>
    <b:Guid>{FE56B89B-371C-4672-BB24-A940F163D179}</b:Guid>
    <b:Title>Nephrology and Urology of Small Animals</b:Title>
    <b:Year>2011</b:Year>
    <b:Author>
      <b:Author>
        <b:NameList>
          <b:Person>
            <b:Last>Bartges</b:Last>
            <b:First>J</b:First>
          </b:Person>
          <b:Person>
            <b:Last>Polzin</b:Last>
            <b:Middle>J</b:Middle>
            <b:First>David</b:First>
          </b:Person>
        </b:NameList>
      </b:Author>
    </b:Author>
    <b:City>Chichester</b:City>
    <b:Publisher>Wiley-Blackwell</b:Publisher>
    <b:RefOrder>3</b:RefOrder>
  </b:Source>
  <b:Source>
    <b:Tag>Gun12</b:Tag>
    <b:SourceType>JournalArticle</b:SourceType>
    <b:Guid>{49003F0A-7B15-4682-B94B-41EA43CE74B8}</b:Guid>
    <b:Title>ASVCP quality assurance guidelines: control of preanalytical, analytical, and postanalytical factors for urinalysis, cytology, and clinical chemistry in veterinary laboratories</b:Title>
    <b:Year>2012</b:Year>
    <b:JournalName>Veterinary Clinical Pathology</b:JournalName>
    <b:Pages>18-26</b:Pages>
    <b:Volume>41</b:Volume>
    <b:Issue>1</b:Issue>
    <b:Author>
      <b:Author>
        <b:NameList>
          <b:Person>
            <b:Last>Gunn-Christie</b:Last>
            <b:Middle>G</b:Middle>
            <b:First>Rebekah</b:First>
          </b:Person>
          <b:Person>
            <b:Last>Flatland</b:Last>
            <b:First>Bente</b:First>
          </b:Person>
          <b:Person>
            <b:Last>Friedrichs</b:Last>
            <b:Middle>R</b:Middle>
            <b:First>Kristen</b:First>
          </b:Person>
          <b:Person>
            <b:Last>Szladovits</b:Last>
            <b:First>Balazs</b:First>
          </b:Person>
          <b:Person>
            <b:Last>Harr</b:Last>
            <b:Middle>E</b:Middle>
            <b:First>Kendal</b:First>
          </b:Person>
          <b:Person>
            <b:Last>Ruotsalo</b:Last>
            <b:First>Kristiina</b:First>
          </b:Person>
          <b:Person>
            <b:Last>Knoll</b:Last>
            <b:Middle>S</b:Middle>
            <b:First>Joyce</b:First>
          </b:Person>
          <b:Person>
            <b:Last>Wamsley</b:Last>
            <b:Middle>L</b:Middle>
            <b:First>Heather</b:First>
          </b:Person>
          <b:Person>
            <b:Last>Freeman</b:Last>
            <b:Middle>P</b:Middle>
            <b:First>Kathy</b:First>
          </b:Person>
        </b:NameList>
      </b:Author>
    </b:Author>
    <b:RefOrder>1</b:RefOrder>
  </b:Source>
</b:Sources>
</file>

<file path=customXml/itemProps1.xml><?xml version="1.0" encoding="utf-8"?>
<ds:datastoreItem xmlns:ds="http://schemas.openxmlformats.org/officeDocument/2006/customXml" ds:itemID="{72C74EEF-ADCC-4A15-A8CF-EBF65811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dc:creator>
  <cp:keywords/>
  <dc:description/>
  <cp:lastModifiedBy>Howe, Gaynor</cp:lastModifiedBy>
  <cp:revision>2</cp:revision>
  <dcterms:created xsi:type="dcterms:W3CDTF">2019-04-02T13:25:00Z</dcterms:created>
  <dcterms:modified xsi:type="dcterms:W3CDTF">2019-04-02T13:25:00Z</dcterms:modified>
</cp:coreProperties>
</file>